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CD37AE" w:rsidRPr="00CD37AE" w:rsidTr="00CD37AE">
        <w:trPr>
          <w:tblCellSpacing w:w="0" w:type="dxa"/>
        </w:trPr>
        <w:tc>
          <w:tcPr>
            <w:tcW w:w="0" w:type="auto"/>
            <w:tcMar>
              <w:top w:w="30" w:type="dxa"/>
              <w:left w:w="0" w:type="dxa"/>
              <w:bottom w:w="150" w:type="dxa"/>
              <w:right w:w="0" w:type="dxa"/>
            </w:tcMar>
            <w:vAlign w:val="center"/>
            <w:hideMark/>
          </w:tcPr>
          <w:p w:rsidR="00CD37AE" w:rsidRPr="00CD37AE" w:rsidRDefault="00CD37AE" w:rsidP="00CD37AE">
            <w:pPr>
              <w:adjustRightInd/>
              <w:snapToGrid/>
              <w:spacing w:after="0" w:line="495" w:lineRule="atLeast"/>
              <w:jc w:val="center"/>
              <w:rPr>
                <w:rFonts w:ascii="宋体" w:eastAsia="宋体" w:hAnsi="宋体" w:cs="宋体"/>
                <w:b/>
                <w:bCs/>
                <w:color w:val="093A96"/>
                <w:sz w:val="33"/>
                <w:szCs w:val="33"/>
              </w:rPr>
            </w:pPr>
            <w:r w:rsidRPr="00CD37AE">
              <w:rPr>
                <w:rFonts w:ascii="宋体" w:eastAsia="宋体" w:hAnsi="宋体" w:cs="宋体" w:hint="eastAsia"/>
                <w:b/>
                <w:bCs/>
                <w:color w:val="093A96"/>
                <w:sz w:val="33"/>
                <w:szCs w:val="33"/>
              </w:rPr>
              <w:t>国家药品监督管理局办公室关于强脉冲光脱毛类产品分类界定的通知</w:t>
            </w:r>
          </w:p>
        </w:tc>
      </w:tr>
      <w:tr w:rsidR="00CD37AE" w:rsidRPr="00CD37AE" w:rsidTr="00CD37AE">
        <w:trPr>
          <w:tblCellSpacing w:w="0" w:type="dxa"/>
        </w:trPr>
        <w:tc>
          <w:tcPr>
            <w:tcW w:w="0" w:type="auto"/>
            <w:vAlign w:val="center"/>
            <w:hideMark/>
          </w:tcPr>
          <w:p w:rsidR="00CD37AE" w:rsidRPr="00CD37AE" w:rsidRDefault="00CD37AE" w:rsidP="00CD37AE">
            <w:pPr>
              <w:adjustRightInd/>
              <w:snapToGrid/>
              <w:spacing w:after="0" w:line="540" w:lineRule="atLeast"/>
              <w:jc w:val="center"/>
              <w:rPr>
                <w:rFonts w:ascii="宋体" w:eastAsia="宋体" w:hAnsi="宋体" w:cs="宋体"/>
                <w:b/>
                <w:bCs/>
                <w:color w:val="093A96"/>
                <w:sz w:val="27"/>
                <w:szCs w:val="27"/>
              </w:rPr>
            </w:pPr>
            <w:r w:rsidRPr="00CD37AE">
              <w:rPr>
                <w:rFonts w:ascii="宋体" w:eastAsia="宋体" w:hAnsi="宋体" w:cs="宋体" w:hint="eastAsia"/>
                <w:b/>
                <w:bCs/>
                <w:color w:val="093A96"/>
                <w:sz w:val="27"/>
                <w:szCs w:val="27"/>
              </w:rPr>
              <w:t>药监办〔2018〕10号</w:t>
            </w:r>
          </w:p>
        </w:tc>
      </w:tr>
      <w:tr w:rsidR="00CD37AE" w:rsidRPr="00CD37AE" w:rsidTr="00CD37AE">
        <w:trPr>
          <w:tblCellSpacing w:w="0" w:type="dxa"/>
        </w:trPr>
        <w:tc>
          <w:tcPr>
            <w:tcW w:w="0" w:type="auto"/>
            <w:vAlign w:val="center"/>
            <w:hideMark/>
          </w:tcPr>
          <w:tbl>
            <w:tblPr>
              <w:tblW w:w="0" w:type="auto"/>
              <w:jc w:val="right"/>
              <w:tblCellSpacing w:w="15" w:type="dxa"/>
              <w:tblCellMar>
                <w:left w:w="0" w:type="dxa"/>
                <w:right w:w="0" w:type="dxa"/>
              </w:tblCellMar>
              <w:tblLook w:val="04A0"/>
            </w:tblPr>
            <w:tblGrid>
              <w:gridCol w:w="225"/>
              <w:gridCol w:w="1125"/>
            </w:tblGrid>
            <w:tr w:rsidR="00CD37AE" w:rsidRPr="00CD37AE">
              <w:trPr>
                <w:tblCellSpacing w:w="15" w:type="dxa"/>
                <w:jc w:val="right"/>
              </w:trPr>
              <w:tc>
                <w:tcPr>
                  <w:tcW w:w="0" w:type="auto"/>
                  <w:tcMar>
                    <w:top w:w="60" w:type="dxa"/>
                    <w:left w:w="0" w:type="dxa"/>
                    <w:bottom w:w="0" w:type="dxa"/>
                    <w:right w:w="0" w:type="dxa"/>
                  </w:tcMar>
                  <w:vAlign w:val="center"/>
                  <w:hideMark/>
                </w:tcPr>
                <w:p w:rsidR="00CD37AE" w:rsidRPr="00CD37AE" w:rsidRDefault="00CD37AE" w:rsidP="00CD37AE">
                  <w:pPr>
                    <w:adjustRightInd/>
                    <w:snapToGrid/>
                    <w:spacing w:after="0" w:line="306" w:lineRule="atLeast"/>
                    <w:rPr>
                      <w:rFonts w:ascii="宋体" w:eastAsia="宋体" w:hAnsi="宋体" w:cs="宋体"/>
                      <w:sz w:val="18"/>
                      <w:szCs w:val="18"/>
                    </w:rPr>
                  </w:pPr>
                  <w:r w:rsidRPr="00CD37AE">
                    <w:rPr>
                      <w:rFonts w:ascii="宋体" w:eastAsia="宋体" w:hAnsi="宋体" w:cs="宋体" w:hint="eastAsia"/>
                      <w:sz w:val="18"/>
                    </w:rPr>
                    <w:t> </w:t>
                  </w:r>
                </w:p>
              </w:tc>
              <w:tc>
                <w:tcPr>
                  <w:tcW w:w="0" w:type="auto"/>
                  <w:vAlign w:val="center"/>
                  <w:hideMark/>
                </w:tcPr>
                <w:p w:rsidR="00CD37AE" w:rsidRPr="00CD37AE" w:rsidRDefault="00CD37AE" w:rsidP="00CD37AE">
                  <w:pPr>
                    <w:adjustRightInd/>
                    <w:snapToGrid/>
                    <w:spacing w:after="0" w:line="306" w:lineRule="atLeast"/>
                    <w:rPr>
                      <w:rFonts w:ascii="宋体" w:eastAsia="宋体" w:hAnsi="宋体" w:cs="宋体"/>
                      <w:sz w:val="18"/>
                      <w:szCs w:val="18"/>
                    </w:rPr>
                  </w:pPr>
                  <w:r w:rsidRPr="00CD37AE">
                    <w:rPr>
                      <w:rFonts w:ascii="宋体" w:eastAsia="宋体" w:hAnsi="宋体" w:cs="宋体" w:hint="eastAsia"/>
                      <w:sz w:val="18"/>
                      <w:szCs w:val="18"/>
                    </w:rPr>
                    <w:t>   </w:t>
                  </w:r>
                  <w:r w:rsidRPr="00CD37AE">
                    <w:rPr>
                      <w:rFonts w:ascii="宋体" w:eastAsia="宋体" w:hAnsi="宋体" w:cs="宋体" w:hint="eastAsia"/>
                      <w:sz w:val="18"/>
                    </w:rPr>
                    <w:t> </w:t>
                  </w:r>
                  <w:hyperlink r:id="rId6" w:tgtFrame="_blank" w:history="1">
                    <w:r w:rsidRPr="00CD37AE">
                      <w:rPr>
                        <w:rFonts w:ascii="宋体" w:eastAsia="宋体" w:hAnsi="宋体" w:cs="宋体" w:hint="eastAsia"/>
                        <w:color w:val="3A3A3A"/>
                        <w:sz w:val="18"/>
                      </w:rPr>
                      <w:t> </w:t>
                    </w:r>
                  </w:hyperlink>
                  <w:hyperlink r:id="rId7" w:tgtFrame="_blank" w:history="1"/>
                  <w:hyperlink r:id="rId8" w:tgtFrame="_blank" w:history="1">
                    <w:r w:rsidRPr="00CD37AE">
                      <w:rPr>
                        <w:rFonts w:ascii="宋体" w:eastAsia="宋体" w:hAnsi="宋体" w:cs="宋体" w:hint="eastAsia"/>
                        <w:color w:val="3A3A3A"/>
                        <w:sz w:val="18"/>
                      </w:rPr>
                      <w:t> </w:t>
                    </w:r>
                  </w:hyperlink>
                </w:p>
              </w:tc>
            </w:tr>
          </w:tbl>
          <w:p w:rsidR="00CD37AE" w:rsidRPr="00CD37AE" w:rsidRDefault="00CD37AE" w:rsidP="00CD37AE">
            <w:pPr>
              <w:adjustRightInd/>
              <w:snapToGrid/>
              <w:spacing w:after="0" w:line="306" w:lineRule="atLeast"/>
              <w:jc w:val="right"/>
              <w:rPr>
                <w:rFonts w:ascii="宋体" w:eastAsia="宋体" w:hAnsi="宋体" w:cs="宋体"/>
                <w:sz w:val="18"/>
                <w:szCs w:val="18"/>
              </w:rPr>
            </w:pPr>
          </w:p>
        </w:tc>
      </w:tr>
      <w:tr w:rsidR="00CD37AE" w:rsidRPr="00CD37AE" w:rsidTr="00CD37AE">
        <w:trPr>
          <w:tblCellSpacing w:w="0" w:type="dxa"/>
        </w:trPr>
        <w:tc>
          <w:tcPr>
            <w:tcW w:w="0" w:type="auto"/>
            <w:tcMar>
              <w:top w:w="120" w:type="dxa"/>
              <w:left w:w="0" w:type="dxa"/>
              <w:bottom w:w="0" w:type="dxa"/>
              <w:right w:w="0" w:type="dxa"/>
            </w:tcMar>
            <w:vAlign w:val="center"/>
            <w:hideMark/>
          </w:tcPr>
          <w:p w:rsidR="00CD37AE" w:rsidRPr="00CD37AE" w:rsidRDefault="00CD37AE" w:rsidP="00CD37AE">
            <w:pPr>
              <w:adjustRightInd/>
              <w:snapToGrid/>
              <w:spacing w:after="0" w:line="315" w:lineRule="atLeast"/>
              <w:jc w:val="right"/>
              <w:rPr>
                <w:rFonts w:ascii="宋体" w:eastAsia="宋体" w:hAnsi="宋体" w:cs="宋体"/>
                <w:sz w:val="21"/>
                <w:szCs w:val="21"/>
              </w:rPr>
            </w:pPr>
            <w:r w:rsidRPr="00CD37AE">
              <w:rPr>
                <w:rFonts w:ascii="宋体" w:eastAsia="宋体" w:hAnsi="宋体" w:cs="宋体" w:hint="eastAsia"/>
                <w:sz w:val="21"/>
                <w:szCs w:val="21"/>
              </w:rPr>
              <w:t>2018年05月25日 发布</w:t>
            </w:r>
          </w:p>
        </w:tc>
      </w:tr>
      <w:tr w:rsidR="00CD37AE" w:rsidRPr="00CD37AE" w:rsidTr="00CD37AE">
        <w:trPr>
          <w:trHeight w:val="60"/>
          <w:tblCellSpacing w:w="0" w:type="dxa"/>
        </w:trPr>
        <w:tc>
          <w:tcPr>
            <w:tcW w:w="11070" w:type="dxa"/>
            <w:vAlign w:val="center"/>
            <w:hideMark/>
          </w:tcPr>
          <w:p w:rsidR="00CD37AE" w:rsidRPr="00CD37AE" w:rsidRDefault="00CD37AE" w:rsidP="00CD37AE">
            <w:pPr>
              <w:adjustRightInd/>
              <w:snapToGrid/>
              <w:spacing w:after="0" w:line="306" w:lineRule="atLeast"/>
              <w:jc w:val="center"/>
              <w:rPr>
                <w:rFonts w:ascii="宋体" w:eastAsia="宋体" w:hAnsi="宋体" w:cs="宋体"/>
                <w:color w:val="000000"/>
                <w:sz w:val="6"/>
                <w:szCs w:val="18"/>
              </w:rPr>
            </w:pPr>
          </w:p>
        </w:tc>
      </w:tr>
      <w:tr w:rsidR="00CD37AE" w:rsidRPr="00CD37AE" w:rsidTr="00CD37AE">
        <w:trPr>
          <w:tblCellSpacing w:w="0" w:type="dxa"/>
        </w:trPr>
        <w:tc>
          <w:tcPr>
            <w:tcW w:w="0" w:type="auto"/>
            <w:tcMar>
              <w:top w:w="300" w:type="dxa"/>
              <w:left w:w="0" w:type="dxa"/>
              <w:bottom w:w="0" w:type="dxa"/>
              <w:right w:w="0" w:type="dxa"/>
            </w:tcMar>
            <w:vAlign w:val="center"/>
            <w:hideMark/>
          </w:tcPr>
          <w:p w:rsidR="00CD37AE" w:rsidRPr="00CD37AE" w:rsidRDefault="00CD37AE" w:rsidP="00CD37AE">
            <w:pPr>
              <w:adjustRightInd/>
              <w:snapToGrid/>
              <w:spacing w:before="100" w:beforeAutospacing="1" w:after="100" w:afterAutospacing="1" w:line="420" w:lineRule="atLeast"/>
              <w:rPr>
                <w:rFonts w:ascii="宋体" w:eastAsia="宋体" w:hAnsi="宋体" w:cs="宋体" w:hint="eastAsia"/>
                <w:color w:val="000000"/>
                <w:sz w:val="21"/>
                <w:szCs w:val="21"/>
              </w:rPr>
            </w:pPr>
            <w:r w:rsidRPr="00CD37AE">
              <w:rPr>
                <w:rFonts w:ascii="宋体" w:eastAsia="宋体" w:hAnsi="宋体" w:cs="宋体" w:hint="eastAsia"/>
                <w:color w:val="000000"/>
                <w:sz w:val="21"/>
                <w:szCs w:val="21"/>
              </w:rPr>
              <w:t>各省、自治区、直辖市食品药品监督管理局：</w:t>
            </w:r>
          </w:p>
          <w:p w:rsidR="00CD37AE" w:rsidRPr="00CD37AE" w:rsidRDefault="00CD37AE" w:rsidP="00CD37AE">
            <w:pPr>
              <w:adjustRightInd/>
              <w:snapToGrid/>
              <w:spacing w:before="100" w:beforeAutospacing="1" w:after="100" w:afterAutospacing="1" w:line="420" w:lineRule="atLeast"/>
              <w:rPr>
                <w:rFonts w:ascii="宋体" w:eastAsia="宋体" w:hAnsi="宋体" w:cs="宋体" w:hint="eastAsia"/>
                <w:color w:val="000000"/>
                <w:sz w:val="21"/>
                <w:szCs w:val="21"/>
              </w:rPr>
            </w:pPr>
            <w:r w:rsidRPr="00CD37AE">
              <w:rPr>
                <w:rFonts w:ascii="宋体" w:eastAsia="宋体" w:hAnsi="宋体" w:cs="宋体" w:hint="eastAsia"/>
                <w:color w:val="000000"/>
                <w:sz w:val="21"/>
                <w:szCs w:val="21"/>
              </w:rPr>
              <w:t xml:space="preserve">　　为加强医疗器械监督管理，国家药品监督管理局组织对强脉冲光脱毛类产品的管理属性及管理类别进行了界定。现将有关事项通知如下：</w:t>
            </w:r>
          </w:p>
          <w:p w:rsidR="00CD37AE" w:rsidRPr="00CD37AE" w:rsidRDefault="00CD37AE" w:rsidP="00CD37AE">
            <w:pPr>
              <w:adjustRightInd/>
              <w:snapToGrid/>
              <w:spacing w:before="100" w:beforeAutospacing="1" w:after="100" w:afterAutospacing="1" w:line="420" w:lineRule="atLeast"/>
              <w:rPr>
                <w:rFonts w:ascii="宋体" w:eastAsia="宋体" w:hAnsi="宋体" w:cs="宋体" w:hint="eastAsia"/>
                <w:color w:val="000000"/>
                <w:sz w:val="21"/>
                <w:szCs w:val="21"/>
              </w:rPr>
            </w:pPr>
            <w:r w:rsidRPr="00CD37AE">
              <w:rPr>
                <w:rFonts w:ascii="宋体" w:eastAsia="宋体" w:hAnsi="宋体" w:cs="宋体" w:hint="eastAsia"/>
                <w:color w:val="000000"/>
                <w:sz w:val="21"/>
                <w:szCs w:val="21"/>
              </w:rPr>
              <w:t xml:space="preserve">　　一、本通知涉及的强脉冲光脱毛类产品，通常由光源、控制装置、闪光窗口、闪光发射按钮、指示灯/屏、电源适配器等组成，通过产生强脉冲光照射皮肤，使毛囊及周围组织因温度升高而发生结构改变，从而抑制毛发生长或使毛发萎缩脱落。该类产品为便携手持式设备，可由个人按照说明书自行使用。</w:t>
            </w:r>
            <w:r w:rsidRPr="00CD37AE">
              <w:rPr>
                <w:rFonts w:ascii="宋体" w:eastAsia="宋体" w:hAnsi="宋体" w:cs="宋体" w:hint="eastAsia"/>
                <w:color w:val="000000"/>
                <w:sz w:val="18"/>
                <w:szCs w:val="18"/>
              </w:rPr>
              <w:br/>
            </w:r>
            <w:r w:rsidRPr="00CD37AE">
              <w:rPr>
                <w:rFonts w:ascii="宋体" w:eastAsia="宋体" w:hAnsi="宋体" w:cs="宋体" w:hint="eastAsia"/>
                <w:color w:val="000000"/>
                <w:sz w:val="21"/>
                <w:szCs w:val="21"/>
              </w:rPr>
              <w:t xml:space="preserve">　　按照《医疗器械监督管理条例》（国务院令第680号）第七十六条的规定，根据《医疗器械分类规则》（国家食品药品监督管理总局令第15号）和《医疗器械分类目录》（国家食品药品监督管理总局公告2017年第104号），强脉冲光脱毛类产品按第二类医疗器械管理，分类编码为09—03—04。</w:t>
            </w:r>
          </w:p>
          <w:p w:rsidR="00CD37AE" w:rsidRPr="00CD37AE" w:rsidRDefault="00CD37AE" w:rsidP="00CD37AE">
            <w:pPr>
              <w:adjustRightInd/>
              <w:snapToGrid/>
              <w:spacing w:before="100" w:beforeAutospacing="1" w:after="100" w:afterAutospacing="1" w:line="420" w:lineRule="atLeast"/>
              <w:rPr>
                <w:rFonts w:ascii="宋体" w:eastAsia="宋体" w:hAnsi="宋体" w:cs="宋体" w:hint="eastAsia"/>
                <w:color w:val="000000"/>
                <w:sz w:val="21"/>
                <w:szCs w:val="21"/>
              </w:rPr>
            </w:pPr>
            <w:r w:rsidRPr="00CD37AE">
              <w:rPr>
                <w:rFonts w:ascii="宋体" w:eastAsia="宋体" w:hAnsi="宋体" w:cs="宋体" w:hint="eastAsia"/>
                <w:color w:val="000000"/>
                <w:sz w:val="21"/>
                <w:szCs w:val="21"/>
              </w:rPr>
              <w:t xml:space="preserve">　　二、强脉冲光脱毛类产品相关企业应当切实落实产品质量安全主体责任，确保上市产品的安全有效。自本通知发布之日起，可按《医疗器械注册管理办法》（国家食品药品监督管理总局令第4号）的规定申请注册。自2023年1月1日起，强脉冲光脱毛类产品未依法取得医疗器械注册证不得生产、进口和销售。</w:t>
            </w:r>
          </w:p>
          <w:p w:rsidR="00CD37AE" w:rsidRPr="00CD37AE" w:rsidRDefault="00CD37AE" w:rsidP="00CD37AE">
            <w:pPr>
              <w:adjustRightInd/>
              <w:snapToGrid/>
              <w:spacing w:before="100" w:beforeAutospacing="1" w:after="100" w:afterAutospacing="1" w:line="420" w:lineRule="atLeast"/>
              <w:jc w:val="right"/>
              <w:rPr>
                <w:rFonts w:ascii="宋体" w:eastAsia="宋体" w:hAnsi="宋体" w:cs="宋体"/>
                <w:color w:val="000000"/>
                <w:sz w:val="21"/>
                <w:szCs w:val="21"/>
              </w:rPr>
            </w:pPr>
            <w:r w:rsidRPr="00CD37AE">
              <w:rPr>
                <w:rFonts w:ascii="宋体" w:eastAsia="宋体" w:hAnsi="宋体" w:cs="宋体" w:hint="eastAsia"/>
                <w:color w:val="000000"/>
                <w:sz w:val="18"/>
                <w:szCs w:val="18"/>
              </w:rPr>
              <w:br/>
            </w:r>
            <w:r w:rsidRPr="00CD37AE">
              <w:rPr>
                <w:rFonts w:ascii="宋体" w:eastAsia="宋体" w:hAnsi="宋体" w:cs="宋体" w:hint="eastAsia"/>
                <w:color w:val="000000"/>
                <w:sz w:val="21"/>
                <w:szCs w:val="21"/>
              </w:rPr>
              <w:t>国家药品监督管理局办公室</w:t>
            </w:r>
            <w:r w:rsidRPr="00CD37AE">
              <w:rPr>
                <w:rFonts w:ascii="宋体" w:eastAsia="宋体" w:hAnsi="宋体" w:cs="宋体" w:hint="eastAsia"/>
                <w:color w:val="000000"/>
                <w:sz w:val="18"/>
                <w:szCs w:val="18"/>
              </w:rPr>
              <w:br/>
            </w:r>
            <w:r w:rsidRPr="00CD37AE">
              <w:rPr>
                <w:rFonts w:ascii="宋体" w:eastAsia="宋体" w:hAnsi="宋体" w:cs="宋体" w:hint="eastAsia"/>
                <w:color w:val="000000"/>
                <w:sz w:val="21"/>
                <w:szCs w:val="21"/>
              </w:rPr>
              <w:t>2018年5月23日</w:t>
            </w:r>
          </w:p>
        </w:tc>
      </w:tr>
      <w:tr w:rsidR="00CD37AE" w:rsidRPr="00CD37AE" w:rsidTr="00CD37AE">
        <w:trPr>
          <w:tblCellSpacing w:w="0" w:type="dxa"/>
        </w:trPr>
        <w:tc>
          <w:tcPr>
            <w:tcW w:w="0" w:type="auto"/>
            <w:vAlign w:val="center"/>
            <w:hideMark/>
          </w:tcPr>
          <w:p w:rsidR="00CD37AE" w:rsidRPr="00CD37AE" w:rsidRDefault="00CD37AE" w:rsidP="00CD37AE">
            <w:pPr>
              <w:adjustRightInd/>
              <w:snapToGrid/>
              <w:spacing w:after="0" w:line="306" w:lineRule="atLeast"/>
              <w:rPr>
                <w:rFonts w:ascii="宋体" w:eastAsia="宋体" w:hAnsi="宋体" w:cs="宋体"/>
                <w:sz w:val="18"/>
                <w:szCs w:val="18"/>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904" w:rsidRDefault="00125904" w:rsidP="00CD37AE">
      <w:pPr>
        <w:spacing w:after="0"/>
      </w:pPr>
      <w:r>
        <w:separator/>
      </w:r>
    </w:p>
  </w:endnote>
  <w:endnote w:type="continuationSeparator" w:id="0">
    <w:p w:rsidR="00125904" w:rsidRDefault="00125904" w:rsidP="00CD37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904" w:rsidRDefault="00125904" w:rsidP="00CD37AE">
      <w:pPr>
        <w:spacing w:after="0"/>
      </w:pPr>
      <w:r>
        <w:separator/>
      </w:r>
    </w:p>
  </w:footnote>
  <w:footnote w:type="continuationSeparator" w:id="0">
    <w:p w:rsidR="00125904" w:rsidRDefault="00125904" w:rsidP="00CD37A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25904"/>
    <w:rsid w:val="00323B43"/>
    <w:rsid w:val="003D37D8"/>
    <w:rsid w:val="00426133"/>
    <w:rsid w:val="004358AB"/>
    <w:rsid w:val="008B7726"/>
    <w:rsid w:val="00A542CD"/>
    <w:rsid w:val="00CD37A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7A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D37AE"/>
    <w:rPr>
      <w:rFonts w:ascii="Tahoma" w:hAnsi="Tahoma"/>
      <w:sz w:val="18"/>
      <w:szCs w:val="18"/>
    </w:rPr>
  </w:style>
  <w:style w:type="paragraph" w:styleId="a4">
    <w:name w:val="footer"/>
    <w:basedOn w:val="a"/>
    <w:link w:val="Char0"/>
    <w:uiPriority w:val="99"/>
    <w:semiHidden/>
    <w:unhideWhenUsed/>
    <w:rsid w:val="00CD37AE"/>
    <w:pPr>
      <w:tabs>
        <w:tab w:val="center" w:pos="4153"/>
        <w:tab w:val="right" w:pos="8306"/>
      </w:tabs>
    </w:pPr>
    <w:rPr>
      <w:sz w:val="18"/>
      <w:szCs w:val="18"/>
    </w:rPr>
  </w:style>
  <w:style w:type="character" w:customStyle="1" w:styleId="Char0">
    <w:name w:val="页脚 Char"/>
    <w:basedOn w:val="a0"/>
    <w:link w:val="a4"/>
    <w:uiPriority w:val="99"/>
    <w:semiHidden/>
    <w:rsid w:val="00CD37AE"/>
    <w:rPr>
      <w:rFonts w:ascii="Tahoma" w:hAnsi="Tahoma"/>
      <w:sz w:val="18"/>
      <w:szCs w:val="18"/>
    </w:rPr>
  </w:style>
  <w:style w:type="character" w:customStyle="1" w:styleId="apple-converted-space">
    <w:name w:val="apple-converted-space"/>
    <w:basedOn w:val="a0"/>
    <w:rsid w:val="00CD37AE"/>
  </w:style>
  <w:style w:type="paragraph" w:styleId="a5">
    <w:name w:val="Normal (Web)"/>
    <w:basedOn w:val="a"/>
    <w:uiPriority w:val="99"/>
    <w:unhideWhenUsed/>
    <w:rsid w:val="00CD37AE"/>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CD37AE"/>
    <w:pPr>
      <w:spacing w:after="0"/>
    </w:pPr>
    <w:rPr>
      <w:sz w:val="18"/>
      <w:szCs w:val="18"/>
    </w:rPr>
  </w:style>
  <w:style w:type="character" w:customStyle="1" w:styleId="Char1">
    <w:name w:val="批注框文本 Char"/>
    <w:basedOn w:val="a0"/>
    <w:link w:val="a6"/>
    <w:uiPriority w:val="99"/>
    <w:semiHidden/>
    <w:rsid w:val="00CD37A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128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qzone.qq.com/cgi-bin/qzshare/cgi_qzshare_onekey?url=http%3A%2F%2Fcnda.cfda.gov.cn%2FWS04%2FCL2051%2F228174.html&amp;title=%E5%9B%BD%E5%AE%B6%E8%8D%AF%E5%93%81%E7%9B%91%E7%9D%A3%E7%AE%A1%E7%90%86%E5%B1%80%E5%8A%9E%E5%85%AC%E5%AE%A4%E5%85%B3%E4%BA%8E%E5%BC%BA%E8%84%89%E5%86%B2%E5%85%89%E8%84%B1%E6%AF%9B%E7%B1%BB%E4%BA%A7%E5%93%81%E5%88%86%E7%B1%BB%E7%95%8C%E5%AE%9A%E7%9A%84%E9%80%9A%E7%9F%A5&amp;api_key=" TargetMode="External"/><Relationship Id="rId3" Type="http://schemas.openxmlformats.org/officeDocument/2006/relationships/webSettings" Target="webSettings.xml"/><Relationship Id="rId7" Type="http://schemas.openxmlformats.org/officeDocument/2006/relationships/hyperlink" Target="http://share.v.t.qq.com/index.php?c=share&amp;a=index&amp;title=%E5%9B%BD%E5%AE%B6%E8%8D%AF%E5%93%81%E7%9B%91%E7%9D%A3%E7%AE%A1%E7%90%86%E5%B1%80%E5%8A%9E%E5%85%AC%E5%AE%A4%E5%85%B3%E4%BA%8E%E5%BC%BA%E8%84%89%E5%86%B2%E5%85%89%E8%84%B1%E6%AF%9B%E7%B1%BB%E4%BA%A7%E5%93%81%E5%88%86%E7%B1%BB%E7%95%8C%E5%AE%9A%E7%9A%84%E9%80%9A%E7%9F%A5&amp;url=http%3A%2F%2Fcnda.cfda.gov.cn%2FWS04%2FCL2051%2F22817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t.sina.com.cn/share/share.php?title=%E5%9B%BD%E5%AE%B6%E8%8D%AF%E5%93%81%E7%9B%91%E7%9D%A3%E7%AE%A1%E7%90%86%E5%B1%80%E5%8A%9E%E5%85%AC%E5%AE%A4%E5%85%B3%E4%BA%8E%E5%BC%BA%E8%84%89%E5%86%B2%E5%85%89%E8%84%B1%E6%AF%9B%E7%B1%BB%E4%BA%A7%E5%93%81%E5%88%86%E7%B1%BB%E7%95%8C%E5%AE%9A%E7%9A%84%E9%80%9A%E7%9F%A5&amp;url=http%3A%2F%2Fcnda.cfda.gov.cn%2FWS04%2FCL2051%2F228174.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2018-06-02T06:38:00Z</dcterms:modified>
</cp:coreProperties>
</file>